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20FDD" w14:textId="528F4F5B" w:rsidR="00367068" w:rsidRDefault="00367068" w:rsidP="00367068">
      <w:pPr>
        <w:jc w:val="center"/>
        <w:rPr>
          <w:rFonts w:ascii="Aptos Display" w:hAnsi="Aptos Display"/>
          <w:b/>
          <w:bCs/>
          <w:sz w:val="20"/>
          <w:szCs w:val="20"/>
        </w:rPr>
      </w:pPr>
      <w:r w:rsidRPr="00367068">
        <w:rPr>
          <w:rFonts w:ascii="Aptos Display" w:hAnsi="Aptos Display"/>
          <w:b/>
          <w:bCs/>
          <w:sz w:val="20"/>
          <w:szCs w:val="20"/>
        </w:rPr>
        <w:t>BRECHAS EN EL MONITOREO Y SEGUIMIENTO DE LA HEPATOTOXICIDAD INDUCIDA POR ANTITUBERCULOSOS (DILI) Y SU IMPACTO EN LA DETECCIÓN OPORTUNA</w:t>
      </w:r>
    </w:p>
    <w:p w14:paraId="45F1921F" w14:textId="77777777" w:rsidR="00367068" w:rsidRPr="00723F3F" w:rsidRDefault="00367068" w:rsidP="00367068">
      <w:pPr>
        <w:jc w:val="center"/>
        <w:rPr>
          <w:rFonts w:ascii="Aptos Display" w:hAnsi="Aptos Display"/>
          <w:b/>
          <w:bCs/>
          <w:sz w:val="20"/>
          <w:szCs w:val="20"/>
        </w:rPr>
      </w:pPr>
    </w:p>
    <w:p w14:paraId="16DA7A08" w14:textId="77777777" w:rsidR="004B0152" w:rsidRPr="00723F3F" w:rsidRDefault="004B0152" w:rsidP="004B0152">
      <w:pPr>
        <w:jc w:val="both"/>
        <w:rPr>
          <w:rFonts w:ascii="Aptos Display" w:hAnsi="Aptos Display"/>
          <w:sz w:val="20"/>
          <w:szCs w:val="20"/>
        </w:rPr>
      </w:pPr>
      <w:r w:rsidRPr="00723F3F">
        <w:rPr>
          <w:rFonts w:ascii="Aptos Display" w:hAnsi="Aptos Display"/>
          <w:sz w:val="20"/>
          <w:szCs w:val="20"/>
        </w:rPr>
        <w:t>El daño hepático inducido por medicamentos (DILI, por sus siglas en inglés) es una reacción adversa conocida asociada al tratamiento con antituberculosos. Su diagnóstico representa un desafío clínico, principalmente debido a brechas en el monitoreo y seguimiento, las cuales impactan de manera significativa en la detección oportuna y en el estado clínico del paciente.</w:t>
      </w:r>
    </w:p>
    <w:p w14:paraId="3BA7298C" w14:textId="5CE997F4" w:rsidR="003D19C7" w:rsidRPr="00723F3F" w:rsidRDefault="003D19C7" w:rsidP="00367068">
      <w:pPr>
        <w:jc w:val="both"/>
        <w:rPr>
          <w:rFonts w:ascii="Aptos Display" w:hAnsi="Aptos Display"/>
          <w:sz w:val="20"/>
          <w:szCs w:val="20"/>
        </w:rPr>
      </w:pPr>
      <w:r w:rsidRPr="00723F3F">
        <w:rPr>
          <w:rFonts w:ascii="Aptos Display" w:hAnsi="Aptos Display"/>
          <w:sz w:val="20"/>
          <w:szCs w:val="20"/>
        </w:rPr>
        <w:t xml:space="preserve">Se estima que entre 14 y 19 casos por cada 100 000 habitantes desarrollan DILI clínicamente significativo cada año, constituyendo una de las principales causas de falla hepática aguda. Asimismo, se reconoce que una proporción importante de casos permanece subdiagnosticada, lo que resalta la importancia del monitoreo activo y sistemático para su detección oportuna </w:t>
      </w:r>
      <w:r w:rsidRPr="00723F3F">
        <w:rPr>
          <w:rFonts w:ascii="Aptos Display" w:hAnsi="Aptos Display"/>
          <w:sz w:val="20"/>
          <w:szCs w:val="20"/>
        </w:rPr>
        <w:fldChar w:fldCharType="begin"/>
      </w:r>
      <w:r w:rsidRPr="00723F3F">
        <w:rPr>
          <w:rFonts w:ascii="Aptos Display" w:hAnsi="Aptos Display"/>
          <w:sz w:val="20"/>
          <w:szCs w:val="20"/>
        </w:rPr>
        <w:instrText xml:space="preserve"> ADDIN ZOTERO_ITEM CSL_CITATION {"citationID":"46eTpKKv","properties":{"formattedCitation":"(1)","plainCitation":"(1)","noteIndex":0},"citationItems":[{"id":83,"uris":["http://zotero.org/users/local/DYNs8Nbs/items/8M9UMQI9"],"itemData":{"id":83,"type":"article-journal","abstract":"AIMS: Drug-induced liver injury (DILI) is a major global health concern resulting from adverse reactions to medications, supplements or herbal medicines. The relevance of DILI has grown with an aging population, the rising prevalence of chronic diseases and the increased use of biologics, including checkpoint inhibitors. This article aims to summarise current knowledge on DILI epidemiology and risk factors.\nMETHODS: This review critically appraises available evidence on DILI frequency, outcomes and risk determinants, focusing on drug properties and non-genetic host factors that may influence susceptibility.\nRESULTS: DILI incidence varies across populations, with hospitalised patients experiencing notably higher rates than outpatients or the general population. Increased medication use, particularly among older adults and women, may partly explain age- and sex-based disparities in DILI incidence and reporting. Physiological changes associated with aging likely increase susceptibility to DILI in older adults, though further exposure-based studies are needed for definitive conclusions. Current evidence does not strongly support that women are inherently more susceptible to DILI than men; rather, susceptibility appears to depend on specific drugs. However, once DILI occurs, older age and female sex are associated with greater severity and poorer outcomes. Other less-studied host-related risk factors are also discussed based on available evidence.\nCONCLUSIONS: This article summarises existing data on DILI frequency, outcomes, drug properties affecting hepatotoxicity and non-genetic host risk factors while identifying critical knowledge gaps. Addressing these gaps through future research could enhance understanding and support preventive measures.","container-title":"Liver International: Official Journal of the International Association for the Study of the Liver","DOI":"10.1111/liv.16146","ISSN":"1478-3231","issue":"4","journalAbbreviation":"Liver Int","language":"eng","note":"PMID: 39494620","page":"e16146","source":"PubMed","title":"Epidemiology and Risk Determinants of Drug-Induced Liver Injury: Current Knowledge and Future Research Needs","title-short":"Epidemiology and Risk Determinants of Drug-Induced Liver Injury","volume":"45","author":[{"family":"Suzuki","given":"Ayako"},{"family":"MinjunChen","given":"null"}],"issued":{"date-parts":[["2025",4]]}}}],"schema":"https://github.com/citation-style-language/schema/raw/master/csl-citation.json"} </w:instrText>
      </w:r>
      <w:r w:rsidRPr="00723F3F">
        <w:rPr>
          <w:rFonts w:ascii="Aptos Display" w:hAnsi="Aptos Display"/>
          <w:sz w:val="20"/>
          <w:szCs w:val="20"/>
        </w:rPr>
        <w:fldChar w:fldCharType="separate"/>
      </w:r>
      <w:r w:rsidRPr="00723F3F">
        <w:rPr>
          <w:rFonts w:ascii="Aptos Display" w:hAnsi="Aptos Display"/>
          <w:sz w:val="20"/>
        </w:rPr>
        <w:t>(1)</w:t>
      </w:r>
      <w:r w:rsidRPr="00723F3F">
        <w:rPr>
          <w:rFonts w:ascii="Aptos Display" w:hAnsi="Aptos Display"/>
          <w:sz w:val="20"/>
          <w:szCs w:val="20"/>
        </w:rPr>
        <w:fldChar w:fldCharType="end"/>
      </w:r>
      <w:r w:rsidRPr="00723F3F">
        <w:rPr>
          <w:rFonts w:ascii="Aptos Display" w:hAnsi="Aptos Display"/>
          <w:sz w:val="20"/>
          <w:szCs w:val="20"/>
        </w:rPr>
        <w:t>. Cuando no es identificado y abordado de forma temprana, el DILI puede progresar a complicaciones graves e incluso fatales, lo que condiciona una disminución de la adherencia al tratamiento y se asocia con un incremento de la morbilidad y mortalidad</w:t>
      </w:r>
      <w:r w:rsidR="005660A4" w:rsidRPr="00723F3F">
        <w:rPr>
          <w:rFonts w:ascii="Aptos Display" w:hAnsi="Aptos Display"/>
          <w:sz w:val="20"/>
          <w:szCs w:val="20"/>
        </w:rPr>
        <w:fldChar w:fldCharType="begin"/>
      </w:r>
      <w:r w:rsidR="005660A4" w:rsidRPr="00723F3F">
        <w:rPr>
          <w:rFonts w:ascii="Aptos Display" w:hAnsi="Aptos Display"/>
          <w:sz w:val="20"/>
          <w:szCs w:val="20"/>
        </w:rPr>
        <w:instrText xml:space="preserve"> ADDIN ZOTERO_ITEM CSL_CITATION {"citationID":"tzpUFBrL","properties":{"formattedCitation":"(2)","plainCitation":"(2)","noteIndex":0},"citationItems":[{"id":88,"uris":["http://zotero.org/users/local/DYNs8Nbs/items/9QFRG93Q"],"itemData":{"id":88,"type":"post-weblog","abstract":"(For e-learning course see below) -- https://doi.org/10.56759/ojsg8296 -- Drug-induced liver injury (DILI) is a growing challenge because of the ever-","container-title":"COUNCIL FOR INTERNATIONAL ORGANIZATIONS OF MEDICAL SCIENCES","language":"en-US","title":"Drug-Induced Liver Injury • COUNCIL FOR INTERNATIONAL ORGANIZATIONS OF MEDICAL SCIENCES","URL":"https://cioms.ch/publications/product/drug-induced-liver-injury/","accessed":{"date-parts":[["2026",2,9]]}}}],"schema":"https://github.com/citation-style-language/schema/raw/master/csl-citation.json"} </w:instrText>
      </w:r>
      <w:r w:rsidR="005660A4" w:rsidRPr="00723F3F">
        <w:rPr>
          <w:rFonts w:ascii="Aptos Display" w:hAnsi="Aptos Display"/>
          <w:sz w:val="20"/>
          <w:szCs w:val="20"/>
        </w:rPr>
        <w:fldChar w:fldCharType="separate"/>
      </w:r>
      <w:r w:rsidR="005660A4" w:rsidRPr="00723F3F">
        <w:rPr>
          <w:rFonts w:ascii="Aptos Display" w:hAnsi="Aptos Display"/>
          <w:sz w:val="20"/>
        </w:rPr>
        <w:t>(2)</w:t>
      </w:r>
      <w:r w:rsidR="005660A4" w:rsidRPr="00723F3F">
        <w:rPr>
          <w:rFonts w:ascii="Aptos Display" w:hAnsi="Aptos Display"/>
          <w:sz w:val="20"/>
          <w:szCs w:val="20"/>
        </w:rPr>
        <w:fldChar w:fldCharType="end"/>
      </w:r>
      <w:r w:rsidRPr="00723F3F">
        <w:rPr>
          <w:rFonts w:ascii="Aptos Display" w:hAnsi="Aptos Display"/>
          <w:sz w:val="20"/>
          <w:szCs w:val="20"/>
        </w:rPr>
        <w:t>.</w:t>
      </w:r>
    </w:p>
    <w:p w14:paraId="7158096C" w14:textId="1119C0DD" w:rsidR="004B0152" w:rsidRPr="00723F3F" w:rsidRDefault="004B0152" w:rsidP="00367068">
      <w:pPr>
        <w:jc w:val="both"/>
        <w:rPr>
          <w:rFonts w:ascii="Aptos Display" w:hAnsi="Aptos Display"/>
          <w:sz w:val="20"/>
          <w:szCs w:val="20"/>
        </w:rPr>
      </w:pPr>
      <w:r w:rsidRPr="00723F3F">
        <w:rPr>
          <w:rFonts w:ascii="Aptos Display" w:hAnsi="Aptos Display"/>
          <w:sz w:val="20"/>
          <w:szCs w:val="20"/>
        </w:rPr>
        <w:t>El DILI se caracteriza por ser un diagnóstico clínico de exclusión</w:t>
      </w:r>
      <w:r w:rsidR="00121AFC" w:rsidRPr="00723F3F">
        <w:rPr>
          <w:rFonts w:ascii="Aptos Display" w:hAnsi="Aptos Display"/>
          <w:sz w:val="20"/>
          <w:szCs w:val="20"/>
        </w:rPr>
        <w:t xml:space="preserve"> </w:t>
      </w:r>
      <w:r w:rsidR="00121AFC" w:rsidRPr="00723F3F">
        <w:rPr>
          <w:rFonts w:ascii="Aptos Display" w:hAnsi="Aptos Display"/>
          <w:sz w:val="20"/>
          <w:szCs w:val="20"/>
        </w:rPr>
        <w:fldChar w:fldCharType="begin"/>
      </w:r>
      <w:r w:rsidR="005660A4" w:rsidRPr="00723F3F">
        <w:rPr>
          <w:rFonts w:ascii="Aptos Display" w:hAnsi="Aptos Display"/>
          <w:sz w:val="20"/>
          <w:szCs w:val="20"/>
        </w:rPr>
        <w:instrText xml:space="preserve"> ADDIN ZOTERO_ITEM CSL_CITATION {"citationID":"wUDi4vdW","properties":{"formattedCitation":"(3)","plainCitation":"(3)","noteIndex":0},"citationItems":[{"id":79,"uris":["http://zotero.org/users/local/DYNs8Nbs/items/BRGGE7LB"],"itemData":{"id":79,"type":"article-journal","abstract":"Introducción y objetivoEl daño hepático inducido por medicamentos (DILI, por","container-title":"Revista de Gastroenterología de México","DOI":"10.1016/j.rgmx.2021.03.008","ISSN":"0375-0906","issue":"1","journalAbbreviation":"Rev Gastroenterol Mex","language":"es","note":"publisher: Elsevier","page":"19-27","source":"www.revistagastroenterologiamexico.org","title":"Daño hepático inducido por medicamentos: relación entre el índice R y la histopatología","title-short":"Daño hepático inducido por medicamentos","volume":"88","author":[{"family":"Ardila-Suárez","given":"O. M."},{"family":"Oriz-Benjumea","given":"L."},{"family":"Arteta","given":"A. A."},{"family":"Guevara-Casallas","given":"L. G."}],"issued":{"date-parts":[["2022",1,1]]}}}],"schema":"https://github.com/citation-style-language/schema/raw/master/csl-citation.json"} </w:instrText>
      </w:r>
      <w:r w:rsidR="00121AFC" w:rsidRPr="00723F3F">
        <w:rPr>
          <w:rFonts w:ascii="Aptos Display" w:hAnsi="Aptos Display"/>
          <w:sz w:val="20"/>
          <w:szCs w:val="20"/>
        </w:rPr>
        <w:fldChar w:fldCharType="separate"/>
      </w:r>
      <w:r w:rsidR="005660A4" w:rsidRPr="00723F3F">
        <w:rPr>
          <w:rFonts w:ascii="Aptos Display" w:hAnsi="Aptos Display"/>
          <w:sz w:val="20"/>
        </w:rPr>
        <w:t>(3)</w:t>
      </w:r>
      <w:r w:rsidR="00121AFC" w:rsidRPr="00723F3F">
        <w:rPr>
          <w:rFonts w:ascii="Aptos Display" w:hAnsi="Aptos Display"/>
          <w:sz w:val="20"/>
          <w:szCs w:val="20"/>
        </w:rPr>
        <w:fldChar w:fldCharType="end"/>
      </w:r>
      <w:r w:rsidRPr="00723F3F">
        <w:rPr>
          <w:rFonts w:ascii="Aptos Display" w:hAnsi="Aptos Display"/>
          <w:sz w:val="20"/>
          <w:szCs w:val="20"/>
        </w:rPr>
        <w:t>, lo que implica descartar previamente otras causas de lesión hepática, como enfermedades concomitantes, consumo de alcohol, uso de plantas medicinales o medicina tradicional. En este contexto, una de las primeras brechas identificadas es la ausencia de un historial médico completo, que incluya una descripción detallada de la exposición previa a medicamentos, dosis, comorbilidades hepáticas, así como datos demográficos y otros factores de riesgo que aumentan la probabilidad de desarrollar DILI durante el tratamiento antituberculoso</w:t>
      </w:r>
      <w:r w:rsidR="00121AFC" w:rsidRPr="00723F3F">
        <w:rPr>
          <w:rFonts w:ascii="Aptos Display" w:hAnsi="Aptos Display"/>
          <w:sz w:val="20"/>
          <w:szCs w:val="20"/>
        </w:rPr>
        <w:t xml:space="preserve"> </w:t>
      </w:r>
      <w:r w:rsidR="00121AFC" w:rsidRPr="00723F3F">
        <w:rPr>
          <w:rFonts w:ascii="Aptos Display" w:hAnsi="Aptos Display"/>
          <w:sz w:val="20"/>
          <w:szCs w:val="20"/>
        </w:rPr>
        <w:fldChar w:fldCharType="begin"/>
      </w:r>
      <w:r w:rsidR="005660A4" w:rsidRPr="00723F3F">
        <w:rPr>
          <w:rFonts w:ascii="Aptos Display" w:hAnsi="Aptos Display"/>
          <w:sz w:val="20"/>
          <w:szCs w:val="20"/>
        </w:rPr>
        <w:instrText xml:space="preserve"> ADDIN ZOTERO_ITEM CSL_CITATION {"citationID":"VZPRNm0S","properties":{"formattedCitation":"(4)","plainCitation":"(4)","noteIndex":0},"citationItems":[{"id":80,"uris":["http://zotero.org/users/local/DYNs8Nbs/items/2ESEDSCZ"],"itemData":{"id":80,"type":"article-journal","abstract":"Development of idiosyncratic hepatotoxicity is an intricate process involving both concurrent as well as sequential events determining the direction of the pathways, degree of liver injury and its outcome. Decades of clinical observation have identified a number of drug and host related factors that are associated with an increased risk of antituberculous drug-induced hepatotoxicity, although majority of the studies are retrospective with varied case definitions and sample sizes. Investigations on genetic susceptibility to hepatotoxicity have so far focused on formation and accumulation reactive metabolite as well as factors that contribute to cellular antioxidant defense mechanisms and the environment which can modulate the threshold for hepatocyte death secondary to oxidative stress. Recent advances in pharmacogenetics have promised the development of refined algorithms including drug, host and environmental risk factors that allow better tailoring of medications based on accurate estimates of risk–benefit ratio. Future investigations exploring the pathogenesis of hepatotoxicity should be performed using human tissue and samples whenever possible, so that the novel findings can be translated readily into clinical applications.","container-title":"Journal of Clinical and Experimental Hepatology","DOI":"10.1016/j.jceh.2012.12.001","ISSN":"0973-6883","issue":"1","journalAbbreviation":"J Clin Exp Hepatol","note":"PMID: 25755470\nPMCID: PMC3940184","page":"37-49","source":"PubMed Central","title":"Hepatotoxicity Related to Anti-tuberculosis Drugs: Mechanisms and Management","title-short":"Hepatotoxicity Related to Anti-tuberculosis Drugs","volume":"3","author":[{"family":"Ramappa","given":"Vidyasagar"},{"family":"Aithal","given":"Guruprasad P."}],"issued":{"date-parts":[["2013",3]]}}}],"schema":"https://github.com/citation-style-language/schema/raw/master/csl-citation.json"} </w:instrText>
      </w:r>
      <w:r w:rsidR="00121AFC" w:rsidRPr="00723F3F">
        <w:rPr>
          <w:rFonts w:ascii="Aptos Display" w:hAnsi="Aptos Display"/>
          <w:sz w:val="20"/>
          <w:szCs w:val="20"/>
        </w:rPr>
        <w:fldChar w:fldCharType="separate"/>
      </w:r>
      <w:r w:rsidR="005660A4" w:rsidRPr="00723F3F">
        <w:rPr>
          <w:rFonts w:ascii="Aptos Display" w:hAnsi="Aptos Display"/>
          <w:sz w:val="20"/>
        </w:rPr>
        <w:t>(4)</w:t>
      </w:r>
      <w:r w:rsidR="00121AFC" w:rsidRPr="00723F3F">
        <w:rPr>
          <w:rFonts w:ascii="Aptos Display" w:hAnsi="Aptos Display"/>
          <w:sz w:val="20"/>
          <w:szCs w:val="20"/>
        </w:rPr>
        <w:fldChar w:fldCharType="end"/>
      </w:r>
      <w:r w:rsidRPr="00723F3F">
        <w:rPr>
          <w:rFonts w:ascii="Aptos Display" w:hAnsi="Aptos Display"/>
          <w:sz w:val="20"/>
          <w:szCs w:val="20"/>
        </w:rPr>
        <w:t>.</w:t>
      </w:r>
    </w:p>
    <w:p w14:paraId="7E2D8D8A" w14:textId="3AEF21D0" w:rsidR="004B0152" w:rsidRPr="00723F3F" w:rsidRDefault="004B0152" w:rsidP="00367068">
      <w:pPr>
        <w:jc w:val="both"/>
        <w:rPr>
          <w:rFonts w:ascii="Aptos Display" w:hAnsi="Aptos Display"/>
          <w:sz w:val="20"/>
          <w:szCs w:val="20"/>
        </w:rPr>
      </w:pPr>
      <w:r w:rsidRPr="00723F3F">
        <w:rPr>
          <w:rFonts w:ascii="Aptos Display" w:hAnsi="Aptos Display"/>
          <w:sz w:val="20"/>
          <w:szCs w:val="20"/>
        </w:rPr>
        <w:t>Otra brecha relevante corresponde a la falta de evaluación basal y seguimiento periódico del perfil hepático. En la práctica clínica, con frecuencia los exámenes laboratoriales se solicitan únicamente cuando el paciente ya presenta signos o síntomas compatibles con DILI, momento en el cual la continuidad del tratamiento se vuelve más compleja. Un estudio realizado por Wu Shanshan y colaboradores comparó dos grupos de pacientes en tratamiento antituberculoso: uno con seguimiento protocolizado y otro con detección pasiva basada en la aparición de síntomas. Los resultados evidenciaron que los pacientes del grupo monitorizado presentaron una mejor evolución clínica, sin fallecimientos ni modificaciones del tratamiento, en contraste con el grupo de detección pasiva</w:t>
      </w:r>
      <w:r w:rsidR="005660A4" w:rsidRPr="00723F3F">
        <w:rPr>
          <w:rFonts w:ascii="Aptos Display" w:hAnsi="Aptos Display"/>
          <w:sz w:val="20"/>
          <w:szCs w:val="20"/>
        </w:rPr>
        <w:t xml:space="preserve"> </w:t>
      </w:r>
      <w:r w:rsidR="005660A4" w:rsidRPr="00723F3F">
        <w:rPr>
          <w:rFonts w:ascii="Aptos Display" w:hAnsi="Aptos Display"/>
          <w:sz w:val="20"/>
          <w:szCs w:val="20"/>
        </w:rPr>
        <w:fldChar w:fldCharType="begin"/>
      </w:r>
      <w:r w:rsidR="005660A4" w:rsidRPr="00723F3F">
        <w:rPr>
          <w:rFonts w:ascii="Aptos Display" w:hAnsi="Aptos Display"/>
          <w:sz w:val="20"/>
          <w:szCs w:val="20"/>
        </w:rPr>
        <w:instrText xml:space="preserve"> ADDIN ZOTERO_ITEM CSL_CITATION {"citationID":"8wZGjh6P","properties":{"formattedCitation":"(5)","plainCitation":"(5)","noteIndex":0},"citationItems":[{"id":85,"uris":["http://zotero.org/users/local/DYNs8Nbs/items/M72I2XF7"],"itemData":{"id":85,"type":"article-journal","abstract":"Background\nData on effect of regular liver function monitoring during anti-TB treatment is limited in China. This study aimed to evaluate the effects of scheduled liver function monitoring on identification of asymptomatic liver damage and anti-TB treatment outcomes during anti-TB treatment.\n\nMethods\nA retrospective analysis was performed based on a national-level cohort study. A total of 273 patients developing liver dysfunction were divided into two groups, 111 patients who were diagnosed through scheduled liver function test within two months after initiation of anti-TB treatment formed scheduled monitoring group, others who were diagnosed due to developing symptoms formed passive detection group (n</w:instrText>
      </w:r>
      <w:r w:rsidR="005660A4" w:rsidRPr="00723F3F">
        <w:rPr>
          <w:rFonts w:ascii="Arial" w:hAnsi="Arial" w:cs="Arial"/>
          <w:sz w:val="20"/>
          <w:szCs w:val="20"/>
        </w:rPr>
        <w:instrText> </w:instrText>
      </w:r>
      <w:r w:rsidR="005660A4" w:rsidRPr="00723F3F">
        <w:rPr>
          <w:rFonts w:ascii="Aptos Display" w:hAnsi="Aptos Display"/>
          <w:sz w:val="20"/>
          <w:szCs w:val="20"/>
        </w:rPr>
        <w:instrText>=</w:instrText>
      </w:r>
      <w:r w:rsidR="005660A4" w:rsidRPr="00723F3F">
        <w:rPr>
          <w:rFonts w:ascii="Arial" w:hAnsi="Arial" w:cs="Arial"/>
          <w:sz w:val="20"/>
          <w:szCs w:val="20"/>
        </w:rPr>
        <w:instrText> </w:instrText>
      </w:r>
      <w:r w:rsidR="005660A4" w:rsidRPr="00723F3F">
        <w:rPr>
          <w:rFonts w:ascii="Aptos Display" w:hAnsi="Aptos Display"/>
          <w:sz w:val="20"/>
          <w:szCs w:val="20"/>
        </w:rPr>
        <w:instrText>162). The two groups were compared through clinical features, prognosis of liver dysfunction and impact on anti-TB treatment using propensity score weighting analysis.\n\nResults\n33.3% of 273 patients did not have any clinical symptoms, including 8 with severe hepatotoxicity. 1.8% in scheduled monitoring group and 11.1% in passive detection group required hospitalization (P</w:instrText>
      </w:r>
      <w:r w:rsidR="005660A4" w:rsidRPr="00723F3F">
        <w:rPr>
          <w:rFonts w:ascii="Arial" w:hAnsi="Arial" w:cs="Arial"/>
          <w:sz w:val="20"/>
          <w:szCs w:val="20"/>
        </w:rPr>
        <w:instrText> </w:instrText>
      </w:r>
      <w:r w:rsidR="005660A4" w:rsidRPr="00723F3F">
        <w:rPr>
          <w:rFonts w:ascii="Aptos Display" w:hAnsi="Aptos Display"/>
          <w:sz w:val="20"/>
          <w:szCs w:val="20"/>
        </w:rPr>
        <w:instrText>=</w:instrText>
      </w:r>
      <w:r w:rsidR="005660A4" w:rsidRPr="00723F3F">
        <w:rPr>
          <w:rFonts w:ascii="Arial" w:hAnsi="Arial" w:cs="Arial"/>
          <w:sz w:val="20"/>
          <w:szCs w:val="20"/>
        </w:rPr>
        <w:instrText> </w:instrText>
      </w:r>
      <w:r w:rsidR="005660A4" w:rsidRPr="00723F3F">
        <w:rPr>
          <w:rFonts w:ascii="Aptos Display" w:hAnsi="Aptos Display"/>
          <w:sz w:val="20"/>
          <w:szCs w:val="20"/>
        </w:rPr>
        <w:instrText>0.004). Regarding the prognosis of liver dysfunction, most patients recovered, no death happened in scheduled monitoring group while 3 died in passive detection group. In terms of impact on anti-TB treatment, 35.1% in scheduled monitoring group and 56.8% in passive detection group changed their anti-TB treatment (P</w:instrText>
      </w:r>
      <w:r w:rsidR="005660A4" w:rsidRPr="00723F3F">
        <w:rPr>
          <w:rFonts w:ascii="Arial" w:hAnsi="Arial" w:cs="Arial"/>
          <w:sz w:val="20"/>
          <w:szCs w:val="20"/>
        </w:rPr>
        <w:instrText> </w:instrText>
      </w:r>
      <w:r w:rsidR="005660A4" w:rsidRPr="00723F3F">
        <w:rPr>
          <w:rFonts w:ascii="Aptos Display" w:hAnsi="Aptos Display"/>
          <w:sz w:val="20"/>
          <w:szCs w:val="20"/>
        </w:rPr>
        <w:instrText>=</w:instrText>
      </w:r>
      <w:r w:rsidR="005660A4" w:rsidRPr="00723F3F">
        <w:rPr>
          <w:rFonts w:ascii="Arial" w:hAnsi="Arial" w:cs="Arial"/>
          <w:sz w:val="20"/>
          <w:szCs w:val="20"/>
        </w:rPr>
        <w:instrText> </w:instrText>
      </w:r>
      <w:r w:rsidR="005660A4" w:rsidRPr="00723F3F">
        <w:rPr>
          <w:rFonts w:ascii="Aptos Display" w:hAnsi="Aptos Display"/>
          <w:sz w:val="20"/>
          <w:szCs w:val="20"/>
        </w:rPr>
        <w:instrText xml:space="preserve">0.001).\n\nConclusions\nScheduled monitoring is effective in identifying asymptomatic liver damage, reducing hospitalization rate and improving compliance of anti-TB treatment.","container-title":"BMC Public Health","DOI":"10.1186/1471-2458-12-454","ISSN":"1471-2458","journalAbbreviation":"BMC Public Health","note":"PMID: 22712786\nPMCID: PMC3447730","page":"454","source":"PubMed Central","title":"Effect of scheduled monitoring of liver function during anti-Tuberculosis treatment in a retrospective cohort in China","volume":"12","author":[{"family":"Wu","given":"Shanshan"},{"family":"Xia","given":"Yinyin"},{"family":"Lv","given":"Xiaozhen"},{"family":"Zhang","given":"Yuan"},{"family":"Tang","given":"Shaowen"},{"family":"Yang","given":"Zhirong"},{"family":"Tu","given":"Dehua"},{"family":"Deng","given":"Peiyuan"},{"family":"Cheng","given":"Shiming"},{"family":"Wang","given":"Xiaomeng"},{"family":"Yuan","given":"Yanli"},{"family":"Liu","given":"Feiying"},{"family":"Hu","given":"Daiyu"},{"family":"Zhan","given":"Siyan"}],"issued":{"date-parts":[["2012",6,19]]}}}],"schema":"https://github.com/citation-style-language/schema/raw/master/csl-citation.json"} </w:instrText>
      </w:r>
      <w:r w:rsidR="005660A4" w:rsidRPr="00723F3F">
        <w:rPr>
          <w:rFonts w:ascii="Aptos Display" w:hAnsi="Aptos Display"/>
          <w:sz w:val="20"/>
          <w:szCs w:val="20"/>
        </w:rPr>
        <w:fldChar w:fldCharType="separate"/>
      </w:r>
      <w:r w:rsidR="005660A4" w:rsidRPr="00723F3F">
        <w:rPr>
          <w:rFonts w:ascii="Aptos Display" w:hAnsi="Aptos Display"/>
          <w:sz w:val="20"/>
        </w:rPr>
        <w:t>(5)</w:t>
      </w:r>
      <w:r w:rsidR="005660A4" w:rsidRPr="00723F3F">
        <w:rPr>
          <w:rFonts w:ascii="Aptos Display" w:hAnsi="Aptos Display"/>
          <w:sz w:val="20"/>
          <w:szCs w:val="20"/>
        </w:rPr>
        <w:fldChar w:fldCharType="end"/>
      </w:r>
      <w:r w:rsidRPr="00723F3F">
        <w:rPr>
          <w:rFonts w:ascii="Aptos Display" w:hAnsi="Aptos Display"/>
          <w:sz w:val="20"/>
          <w:szCs w:val="20"/>
        </w:rPr>
        <w:t>. Estos hallazgos resaltan que el seguimiento sistemático permite identificar daño hepático clínicamente relevante de manera temprana, evitando decisiones precipitadas como la suspensión innecesaria del tratamiento y favoreciendo un abordaje clínico más seguro.</w:t>
      </w:r>
      <w:r w:rsidR="005660A4" w:rsidRPr="00723F3F">
        <w:rPr>
          <w:rFonts w:ascii="Aptos Display" w:hAnsi="Aptos Display"/>
          <w:sz w:val="20"/>
          <w:szCs w:val="20"/>
        </w:rPr>
        <w:t xml:space="preserve"> </w:t>
      </w:r>
      <w:r w:rsidR="005660A4" w:rsidRPr="00723F3F">
        <w:rPr>
          <w:rFonts w:ascii="Aptos Display" w:hAnsi="Aptos Display"/>
          <w:sz w:val="20"/>
          <w:szCs w:val="20"/>
        </w:rPr>
        <w:fldChar w:fldCharType="begin"/>
      </w:r>
      <w:r w:rsidR="005660A4" w:rsidRPr="00723F3F">
        <w:rPr>
          <w:rFonts w:ascii="Aptos Display" w:hAnsi="Aptos Display"/>
          <w:sz w:val="20"/>
          <w:szCs w:val="20"/>
        </w:rPr>
        <w:instrText xml:space="preserve"> ADDIN ZOTERO_ITEM CSL_CITATION {"citationID":"WPqOdSwh","properties":{"formattedCitation":"(2,6)","plainCitation":"(2,6)","noteIndex":0},"citationItems":[{"id":88,"uris":["http://zotero.org/users/local/DYNs8Nbs/items/9QFRG93Q"],"itemData":{"id":88,"type":"post-weblog","abstract":"(For e-learning course see below) -- https://doi.org/10.56759/ojsg8296 -- Drug-induced liver injury (DILI) is a growing challenge because of the ever-","container-title":"COUNCIL FOR INTERNATIONAL ORGANIZATIONS OF MEDICAL SCIENCES","language":"en-US","title":"Drug-Induced Liver Injury • COUNCIL FOR INTERNATIONAL ORGANIZATIONS OF MEDICAL SCIENCES","URL":"https://cioms.ch/publications/product/drug-induced-liver-injury/","accessed":{"date-parts":[["2026",2,9]]}},"label":"page"},{"id":89,"uris":["http://zotero.org/users/local/DYNs8Nbs/items/MZBMCMR9"],"itemData":{"id":89,"type":"article-journal","abstract":"Idiosyncratic (unpredictable) drug-induced liver injury is one of the most challenging liver disorders faced by hepatologists, because of the myriad of drugs used in clinical practice, available herbs and dietary supplements with hepatotoxic potential, the ability of the condition to present with a variety of clinical and pathological phenotypes and the current absence of specific biomarkers. This makes the diagnosis of drug-induced liver injury an uncertain process, requiring a high degree of awareness of the condition and the careful exclusion of alternative aetiologies of liver disease. Idiosyncratic hepatotoxicity can be severe, leading to a particularly serious variety of acute liver failure for which no effective therapy has yet been developed. These Clinical Practice Guidelines summarize the available evidence on risk factors, diagnosis, management and risk minimization strategies for drug-induced liver jury.","container-title":"Journal of Hepatology","DOI":"10.1016/j.jhep.2019.02.014","ISSN":"1600-0641","issue":"6","journalAbbreviation":"J Hepatol","language":"eng","note":"PMID: 30926241","page":"1222-1261","source":"PubMed","title":"EASL Clinical Practice Guidelines: Drug-induced liver injury","title-short":"EASL Clinical Practice Guidelines","volume":"70","author":[{"literal":"European Association for the Study of the Liver"}],"issued":{"date-parts":[["2019",6]]}},"label":"page"}],"schema":"https://github.com/citation-style-language/schema/raw/master/csl-citation.json"} </w:instrText>
      </w:r>
      <w:r w:rsidR="005660A4" w:rsidRPr="00723F3F">
        <w:rPr>
          <w:rFonts w:ascii="Aptos Display" w:hAnsi="Aptos Display"/>
          <w:sz w:val="20"/>
          <w:szCs w:val="20"/>
        </w:rPr>
        <w:fldChar w:fldCharType="separate"/>
      </w:r>
      <w:r w:rsidR="005660A4" w:rsidRPr="00723F3F">
        <w:rPr>
          <w:rFonts w:ascii="Aptos Display" w:hAnsi="Aptos Display"/>
          <w:sz w:val="20"/>
        </w:rPr>
        <w:t>(2,6)</w:t>
      </w:r>
      <w:r w:rsidR="005660A4" w:rsidRPr="00723F3F">
        <w:rPr>
          <w:rFonts w:ascii="Aptos Display" w:hAnsi="Aptos Display"/>
          <w:sz w:val="20"/>
          <w:szCs w:val="20"/>
        </w:rPr>
        <w:fldChar w:fldCharType="end"/>
      </w:r>
    </w:p>
    <w:p w14:paraId="5DFF91EE" w14:textId="23F90081" w:rsidR="00495055" w:rsidRPr="00723F3F" w:rsidRDefault="004B0152" w:rsidP="00367068">
      <w:pPr>
        <w:jc w:val="both"/>
        <w:rPr>
          <w:rFonts w:ascii="Aptos Display" w:hAnsi="Aptos Display"/>
          <w:sz w:val="20"/>
          <w:szCs w:val="20"/>
        </w:rPr>
      </w:pPr>
      <w:r w:rsidRPr="00723F3F">
        <w:rPr>
          <w:rFonts w:ascii="Aptos Display" w:hAnsi="Aptos Display"/>
          <w:sz w:val="20"/>
          <w:szCs w:val="20"/>
        </w:rPr>
        <w:t>Las consecuencias de un manejo inadecuado del DILI pueden ser significativas, ya que la interrupción del tratamiento antituberculoso puede conducir al empeoramiento clínico y al mal control de la enfermedad. Considerando que actualmente no existe un tratamiento farmacológico específico o definitivo para el DILI, las estrategias preventivas, basadas en la identificación de factores de riesgo, la evaluación basal y el seguimiento oportuno del perfil hepático, continúan siendo las medidas más recomendadas por las guías clínicas.</w:t>
      </w:r>
    </w:p>
    <w:p w14:paraId="6255557E" w14:textId="77777777" w:rsidR="005660A4" w:rsidRDefault="005660A4" w:rsidP="00367068">
      <w:pPr>
        <w:jc w:val="both"/>
        <w:rPr>
          <w:rFonts w:ascii="Aptos Display" w:hAnsi="Aptos Display"/>
          <w:sz w:val="20"/>
          <w:szCs w:val="20"/>
        </w:rPr>
      </w:pPr>
    </w:p>
    <w:p w14:paraId="77EA0232" w14:textId="77777777" w:rsidR="00607B9A" w:rsidRDefault="00607B9A" w:rsidP="00367068">
      <w:pPr>
        <w:jc w:val="both"/>
        <w:rPr>
          <w:rFonts w:ascii="Aptos Display" w:hAnsi="Aptos Display"/>
          <w:sz w:val="20"/>
          <w:szCs w:val="20"/>
        </w:rPr>
      </w:pPr>
    </w:p>
    <w:p w14:paraId="6148C46B" w14:textId="77777777" w:rsidR="00607B9A" w:rsidRDefault="00607B9A" w:rsidP="00367068">
      <w:pPr>
        <w:jc w:val="both"/>
        <w:rPr>
          <w:rFonts w:ascii="Aptos Display" w:hAnsi="Aptos Display"/>
          <w:sz w:val="20"/>
          <w:szCs w:val="20"/>
        </w:rPr>
      </w:pPr>
    </w:p>
    <w:p w14:paraId="17441C0E" w14:textId="77777777" w:rsidR="00607B9A" w:rsidRDefault="00607B9A" w:rsidP="00367068">
      <w:pPr>
        <w:jc w:val="both"/>
        <w:rPr>
          <w:rFonts w:ascii="Aptos Display" w:hAnsi="Aptos Display"/>
          <w:sz w:val="20"/>
          <w:szCs w:val="20"/>
        </w:rPr>
      </w:pPr>
    </w:p>
    <w:p w14:paraId="16743582" w14:textId="77777777" w:rsidR="00607B9A" w:rsidRDefault="00607B9A" w:rsidP="00367068">
      <w:pPr>
        <w:jc w:val="both"/>
        <w:rPr>
          <w:rFonts w:ascii="Aptos Display" w:hAnsi="Aptos Display"/>
          <w:sz w:val="20"/>
          <w:szCs w:val="20"/>
        </w:rPr>
      </w:pPr>
    </w:p>
    <w:p w14:paraId="5299376D" w14:textId="77777777" w:rsidR="005660A4" w:rsidRPr="00723F3F" w:rsidRDefault="005660A4" w:rsidP="005660A4">
      <w:pPr>
        <w:pStyle w:val="Bibliografa"/>
        <w:rPr>
          <w:rFonts w:ascii="Aptos Display" w:hAnsi="Aptos Display"/>
          <w:sz w:val="20"/>
        </w:rPr>
      </w:pPr>
      <w:r>
        <w:rPr>
          <w:rFonts w:ascii="Aptos Display" w:hAnsi="Aptos Display"/>
          <w:sz w:val="20"/>
          <w:szCs w:val="20"/>
        </w:rPr>
        <w:lastRenderedPageBreak/>
        <w:fldChar w:fldCharType="begin"/>
      </w:r>
      <w:r w:rsidRPr="00723F3F">
        <w:rPr>
          <w:rFonts w:ascii="Aptos Display" w:hAnsi="Aptos Display"/>
          <w:sz w:val="20"/>
          <w:szCs w:val="20"/>
        </w:rPr>
        <w:instrText xml:space="preserve"> ADDIN ZOTERO_BIBL {"uncited":[],"omitted":[],"custom":[]} CSL_BIBLIOGRAPHY </w:instrText>
      </w:r>
      <w:r>
        <w:rPr>
          <w:rFonts w:ascii="Aptos Display" w:hAnsi="Aptos Display"/>
          <w:sz w:val="20"/>
          <w:szCs w:val="20"/>
        </w:rPr>
        <w:fldChar w:fldCharType="separate"/>
      </w:r>
      <w:r w:rsidRPr="00723F3F">
        <w:rPr>
          <w:rFonts w:ascii="Aptos Display" w:hAnsi="Aptos Display"/>
          <w:sz w:val="20"/>
        </w:rPr>
        <w:t>1.</w:t>
      </w:r>
      <w:r w:rsidRPr="00723F3F">
        <w:rPr>
          <w:rFonts w:ascii="Aptos Display" w:hAnsi="Aptos Display"/>
          <w:sz w:val="20"/>
        </w:rPr>
        <w:tab/>
        <w:t xml:space="preserve">Suzuki A, MinjunChen  null. Epidemiology and Risk Determinants of Drug-Induced Liver Injury: Current Knowledge and Future Research Needs. Liver Int Off J Int Assoc Study Liver. abril de 2025;45(4):e16146. </w:t>
      </w:r>
    </w:p>
    <w:p w14:paraId="5AF03E97" w14:textId="77777777" w:rsidR="005660A4" w:rsidRPr="00723F3F" w:rsidRDefault="005660A4" w:rsidP="005660A4">
      <w:pPr>
        <w:pStyle w:val="Bibliografa"/>
        <w:rPr>
          <w:rFonts w:ascii="Aptos Display" w:hAnsi="Aptos Display"/>
          <w:sz w:val="20"/>
        </w:rPr>
      </w:pPr>
      <w:r w:rsidRPr="00723F3F">
        <w:rPr>
          <w:rFonts w:ascii="Aptos Display" w:hAnsi="Aptos Display"/>
          <w:sz w:val="20"/>
        </w:rPr>
        <w:t>2.</w:t>
      </w:r>
      <w:r w:rsidRPr="00723F3F">
        <w:rPr>
          <w:rFonts w:ascii="Aptos Display" w:hAnsi="Aptos Display"/>
          <w:sz w:val="20"/>
        </w:rPr>
        <w:tab/>
        <w:t>Drug-Induced Liver Injury • COUNCIL FOR INTERNATIONAL ORGANIZATIONS OF MEDICAL SCIENCES [Internet]. COUNCIL FOR INTERNATIONAL ORGANIZATIONS OF MEDICAL SCIENCES. [citado 9 de febrero de 2026]. Disponible en: https://cioms.ch/publications/product/drug-induced-liver-injury/</w:t>
      </w:r>
    </w:p>
    <w:p w14:paraId="4D9E1992" w14:textId="77777777" w:rsidR="005660A4" w:rsidRPr="005660A4" w:rsidRDefault="005660A4" w:rsidP="005660A4">
      <w:pPr>
        <w:pStyle w:val="Bibliografa"/>
        <w:rPr>
          <w:rFonts w:ascii="Aptos Display" w:hAnsi="Aptos Display"/>
          <w:sz w:val="20"/>
        </w:rPr>
      </w:pPr>
      <w:r w:rsidRPr="005660A4">
        <w:rPr>
          <w:rFonts w:ascii="Aptos Display" w:hAnsi="Aptos Display"/>
          <w:sz w:val="20"/>
        </w:rPr>
        <w:t>3.</w:t>
      </w:r>
      <w:r w:rsidRPr="005660A4">
        <w:rPr>
          <w:rFonts w:ascii="Aptos Display" w:hAnsi="Aptos Display"/>
          <w:sz w:val="20"/>
        </w:rPr>
        <w:tab/>
        <w:t xml:space="preserve">Ardila-Suárez OM, Oriz-Benjumea L, Arteta AA, Guevara-Casallas LG. Daño hepático inducido por medicamentos: relación entre el índice R y la histopatología. Rev Gastroenterol México. 1 de enero de 2022;88(1):19-27. </w:t>
      </w:r>
    </w:p>
    <w:p w14:paraId="4547D366" w14:textId="77777777" w:rsidR="005660A4" w:rsidRPr="005660A4" w:rsidRDefault="005660A4" w:rsidP="005660A4">
      <w:pPr>
        <w:pStyle w:val="Bibliografa"/>
        <w:rPr>
          <w:rFonts w:ascii="Aptos Display" w:hAnsi="Aptos Display"/>
          <w:sz w:val="20"/>
        </w:rPr>
      </w:pPr>
      <w:r w:rsidRPr="005660A4">
        <w:rPr>
          <w:rFonts w:ascii="Aptos Display" w:hAnsi="Aptos Display"/>
          <w:sz w:val="20"/>
        </w:rPr>
        <w:t>4.</w:t>
      </w:r>
      <w:r w:rsidRPr="005660A4">
        <w:rPr>
          <w:rFonts w:ascii="Aptos Display" w:hAnsi="Aptos Display"/>
          <w:sz w:val="20"/>
        </w:rPr>
        <w:tab/>
        <w:t xml:space="preserve">Ramappa V, Aithal GP. </w:t>
      </w:r>
      <w:r w:rsidRPr="00723F3F">
        <w:rPr>
          <w:rFonts w:ascii="Aptos Display" w:hAnsi="Aptos Display"/>
          <w:sz w:val="20"/>
        </w:rPr>
        <w:t xml:space="preserve">Hepatotoxicity Related to Anti-tuberculosis Drugs: Mechanisms and Management. </w:t>
      </w:r>
      <w:r w:rsidRPr="005660A4">
        <w:rPr>
          <w:rFonts w:ascii="Aptos Display" w:hAnsi="Aptos Display"/>
          <w:sz w:val="20"/>
        </w:rPr>
        <w:t xml:space="preserve">J Clin Exp Hepatol. marzo de 2013;3(1):37-49. </w:t>
      </w:r>
    </w:p>
    <w:p w14:paraId="6F85D654" w14:textId="77777777" w:rsidR="005660A4" w:rsidRPr="005660A4" w:rsidRDefault="005660A4" w:rsidP="005660A4">
      <w:pPr>
        <w:pStyle w:val="Bibliografa"/>
        <w:rPr>
          <w:rFonts w:ascii="Aptos Display" w:hAnsi="Aptos Display"/>
          <w:sz w:val="20"/>
          <w:lang w:val="en-US"/>
        </w:rPr>
      </w:pPr>
      <w:r w:rsidRPr="00607B9A">
        <w:rPr>
          <w:rFonts w:ascii="Aptos Display" w:hAnsi="Aptos Display"/>
          <w:sz w:val="20"/>
          <w:lang w:val="en-US"/>
        </w:rPr>
        <w:t>5.</w:t>
      </w:r>
      <w:r w:rsidRPr="00607B9A">
        <w:rPr>
          <w:rFonts w:ascii="Aptos Display" w:hAnsi="Aptos Display"/>
          <w:sz w:val="20"/>
          <w:lang w:val="en-US"/>
        </w:rPr>
        <w:tab/>
        <w:t xml:space="preserve">Wu S, Xia Y, </w:t>
      </w:r>
      <w:proofErr w:type="spellStart"/>
      <w:r w:rsidRPr="00607B9A">
        <w:rPr>
          <w:rFonts w:ascii="Aptos Display" w:hAnsi="Aptos Display"/>
          <w:sz w:val="20"/>
          <w:lang w:val="en-US"/>
        </w:rPr>
        <w:t>Lv</w:t>
      </w:r>
      <w:proofErr w:type="spellEnd"/>
      <w:r w:rsidRPr="00607B9A">
        <w:rPr>
          <w:rFonts w:ascii="Aptos Display" w:hAnsi="Aptos Display"/>
          <w:sz w:val="20"/>
          <w:lang w:val="en-US"/>
        </w:rPr>
        <w:t xml:space="preserve"> X, Zhang Y</w:t>
      </w:r>
      <w:r w:rsidRPr="00723F3F">
        <w:rPr>
          <w:rFonts w:ascii="Aptos Display" w:hAnsi="Aptos Display"/>
          <w:sz w:val="20"/>
          <w:lang w:val="en-US"/>
        </w:rPr>
        <w:t xml:space="preserve">, Tang S, Yang Z, et al. </w:t>
      </w:r>
      <w:r w:rsidRPr="005660A4">
        <w:rPr>
          <w:rFonts w:ascii="Aptos Display" w:hAnsi="Aptos Display"/>
          <w:sz w:val="20"/>
          <w:lang w:val="en-US"/>
        </w:rPr>
        <w:t xml:space="preserve">Effect of scheduled monitoring of liver function during anti-Tuberculosis treatment in a retrospective cohort in China. BMC Public Health. 19 de junio de 2012;12:454. </w:t>
      </w:r>
    </w:p>
    <w:p w14:paraId="7C7C5264" w14:textId="77777777" w:rsidR="005660A4" w:rsidRPr="005660A4" w:rsidRDefault="005660A4" w:rsidP="005660A4">
      <w:pPr>
        <w:pStyle w:val="Bibliografa"/>
        <w:rPr>
          <w:rFonts w:ascii="Aptos Display" w:hAnsi="Aptos Display"/>
          <w:sz w:val="20"/>
        </w:rPr>
      </w:pPr>
      <w:r w:rsidRPr="005660A4">
        <w:rPr>
          <w:rFonts w:ascii="Aptos Display" w:hAnsi="Aptos Display"/>
          <w:sz w:val="20"/>
          <w:lang w:val="en-US"/>
        </w:rPr>
        <w:t>6.</w:t>
      </w:r>
      <w:r w:rsidRPr="005660A4">
        <w:rPr>
          <w:rFonts w:ascii="Aptos Display" w:hAnsi="Aptos Display"/>
          <w:sz w:val="20"/>
          <w:lang w:val="en-US"/>
        </w:rPr>
        <w:tab/>
        <w:t xml:space="preserve">European Association for the Study of the Liver. EASL Clinical Practice Guidelines: Drug-induced liver injury. </w:t>
      </w:r>
      <w:r w:rsidRPr="005660A4">
        <w:rPr>
          <w:rFonts w:ascii="Aptos Display" w:hAnsi="Aptos Display"/>
          <w:sz w:val="20"/>
        </w:rPr>
        <w:t xml:space="preserve">J Hepatol. junio de 2019;70(6):1222-61. </w:t>
      </w:r>
    </w:p>
    <w:p w14:paraId="4DA0A883" w14:textId="7437CCC7" w:rsidR="005660A4" w:rsidRDefault="005660A4" w:rsidP="00367068">
      <w:pPr>
        <w:jc w:val="both"/>
        <w:rPr>
          <w:rFonts w:ascii="Aptos Display" w:hAnsi="Aptos Display"/>
          <w:sz w:val="20"/>
          <w:szCs w:val="20"/>
        </w:rPr>
      </w:pPr>
      <w:r>
        <w:rPr>
          <w:rFonts w:ascii="Aptos Display" w:hAnsi="Aptos Display"/>
          <w:sz w:val="20"/>
          <w:szCs w:val="20"/>
        </w:rPr>
        <w:fldChar w:fldCharType="end"/>
      </w:r>
    </w:p>
    <w:p w14:paraId="5A8A62B2" w14:textId="77777777" w:rsidR="00495055" w:rsidRDefault="00495055" w:rsidP="00367068">
      <w:pPr>
        <w:jc w:val="both"/>
        <w:rPr>
          <w:rFonts w:ascii="Aptos Display" w:hAnsi="Aptos Display"/>
          <w:sz w:val="20"/>
          <w:szCs w:val="20"/>
        </w:rPr>
      </w:pPr>
    </w:p>
    <w:p w14:paraId="24BA32BD" w14:textId="77777777" w:rsidR="004340F4" w:rsidRDefault="004340F4" w:rsidP="00367068">
      <w:pPr>
        <w:jc w:val="both"/>
        <w:rPr>
          <w:rFonts w:ascii="Aptos Display" w:hAnsi="Aptos Display"/>
          <w:sz w:val="20"/>
          <w:szCs w:val="20"/>
        </w:rPr>
      </w:pPr>
    </w:p>
    <w:p w14:paraId="0DFA3E0A" w14:textId="6AFB8E94" w:rsidR="004340F4" w:rsidRDefault="004340F4" w:rsidP="00367068">
      <w:pPr>
        <w:jc w:val="both"/>
        <w:rPr>
          <w:rFonts w:ascii="Aptos Display" w:hAnsi="Aptos Display"/>
          <w:sz w:val="20"/>
          <w:szCs w:val="20"/>
        </w:rPr>
      </w:pPr>
    </w:p>
    <w:sectPr w:rsidR="004340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68"/>
    <w:rsid w:val="00121AFC"/>
    <w:rsid w:val="00176FB1"/>
    <w:rsid w:val="00367068"/>
    <w:rsid w:val="003D19C7"/>
    <w:rsid w:val="003D791E"/>
    <w:rsid w:val="004340F4"/>
    <w:rsid w:val="00495055"/>
    <w:rsid w:val="004B0152"/>
    <w:rsid w:val="005660A4"/>
    <w:rsid w:val="00607B9A"/>
    <w:rsid w:val="00723F3F"/>
    <w:rsid w:val="008551FA"/>
    <w:rsid w:val="00A33FF7"/>
    <w:rsid w:val="00CA3EA3"/>
    <w:rsid w:val="00F035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C54CF"/>
  <w15:chartTrackingRefBased/>
  <w15:docId w15:val="{1AA55781-DD79-4A85-ABB3-423D92A4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70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670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6706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6706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6706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670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70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70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70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06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6706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6706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6706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6706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670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70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70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7068"/>
    <w:rPr>
      <w:rFonts w:eastAsiaTheme="majorEastAsia" w:cstheme="majorBidi"/>
      <w:color w:val="272727" w:themeColor="text1" w:themeTint="D8"/>
    </w:rPr>
  </w:style>
  <w:style w:type="paragraph" w:styleId="Ttulo">
    <w:name w:val="Title"/>
    <w:basedOn w:val="Normal"/>
    <w:next w:val="Normal"/>
    <w:link w:val="TtuloCar"/>
    <w:uiPriority w:val="10"/>
    <w:qFormat/>
    <w:rsid w:val="0036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70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70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70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7068"/>
    <w:pPr>
      <w:spacing w:before="160"/>
      <w:jc w:val="center"/>
    </w:pPr>
    <w:rPr>
      <w:i/>
      <w:iCs/>
      <w:color w:val="404040" w:themeColor="text1" w:themeTint="BF"/>
    </w:rPr>
  </w:style>
  <w:style w:type="character" w:customStyle="1" w:styleId="CitaCar">
    <w:name w:val="Cita Car"/>
    <w:basedOn w:val="Fuentedeprrafopredeter"/>
    <w:link w:val="Cita"/>
    <w:uiPriority w:val="29"/>
    <w:rsid w:val="00367068"/>
    <w:rPr>
      <w:i/>
      <w:iCs/>
      <w:color w:val="404040" w:themeColor="text1" w:themeTint="BF"/>
    </w:rPr>
  </w:style>
  <w:style w:type="paragraph" w:styleId="Prrafodelista">
    <w:name w:val="List Paragraph"/>
    <w:basedOn w:val="Normal"/>
    <w:uiPriority w:val="34"/>
    <w:qFormat/>
    <w:rsid w:val="00367068"/>
    <w:pPr>
      <w:ind w:left="720"/>
      <w:contextualSpacing/>
    </w:pPr>
  </w:style>
  <w:style w:type="character" w:styleId="nfasisintenso">
    <w:name w:val="Intense Emphasis"/>
    <w:basedOn w:val="Fuentedeprrafopredeter"/>
    <w:uiPriority w:val="21"/>
    <w:qFormat/>
    <w:rsid w:val="00367068"/>
    <w:rPr>
      <w:i/>
      <w:iCs/>
      <w:color w:val="2F5496" w:themeColor="accent1" w:themeShade="BF"/>
    </w:rPr>
  </w:style>
  <w:style w:type="paragraph" w:styleId="Citadestacada">
    <w:name w:val="Intense Quote"/>
    <w:basedOn w:val="Normal"/>
    <w:next w:val="Normal"/>
    <w:link w:val="CitadestacadaCar"/>
    <w:uiPriority w:val="30"/>
    <w:qFormat/>
    <w:rsid w:val="003670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67068"/>
    <w:rPr>
      <w:i/>
      <w:iCs/>
      <w:color w:val="2F5496" w:themeColor="accent1" w:themeShade="BF"/>
    </w:rPr>
  </w:style>
  <w:style w:type="character" w:styleId="Referenciaintensa">
    <w:name w:val="Intense Reference"/>
    <w:basedOn w:val="Fuentedeprrafopredeter"/>
    <w:uiPriority w:val="32"/>
    <w:qFormat/>
    <w:rsid w:val="00367068"/>
    <w:rPr>
      <w:b/>
      <w:bCs/>
      <w:smallCaps/>
      <w:color w:val="2F5496" w:themeColor="accent1" w:themeShade="BF"/>
      <w:spacing w:val="5"/>
    </w:rPr>
  </w:style>
  <w:style w:type="paragraph" w:styleId="Bibliografa">
    <w:name w:val="Bibliography"/>
    <w:basedOn w:val="Normal"/>
    <w:next w:val="Normal"/>
    <w:uiPriority w:val="37"/>
    <w:unhideWhenUsed/>
    <w:rsid w:val="005660A4"/>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2588</Words>
  <Characters>14240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IETSI FVTV4</dc:creator>
  <cp:keywords/>
  <dc:description/>
  <cp:lastModifiedBy>IETSI FVTV4</cp:lastModifiedBy>
  <cp:revision>3</cp:revision>
  <dcterms:created xsi:type="dcterms:W3CDTF">2026-02-09T15:49:00Z</dcterms:created>
  <dcterms:modified xsi:type="dcterms:W3CDTF">2026-02-13T13:41:00Z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id="rrMVi4np"/&gt;&lt;style id="http://www.zotero.org/styles/nlm-citation-sequence" locale="es-ES"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ies>
</file>